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Maldon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Maldon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Maldon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Maldon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Maldon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Maldon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Maldon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Maldon is estimated to be </w:t>
      </w:r>
      <w:r w:rsidRPr="00773DF7">
        <w:rPr>
          <w:rFonts w:ascii="Libre Franklin Light" w:eastAsia="Times New Roman" w:hAnsi="Libre Franklin Light" w:cs="Calibri Light"/>
          <w:b/>
          <w:bCs/>
          <w:color w:val="C45911" w:themeColor="accent2" w:themeShade="BF"/>
        </w:rPr>
        <w:t xml:space="preserve">£1,053,612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Maldon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Maldon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Maldon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Maldon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l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Maldon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l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Maldon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Maldon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l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Maldon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Maldon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Maldon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Maldon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Maldon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Maldon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£1,053,612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Maldon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£354,911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£25,425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£635,853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£1,053,612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Maldon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Maldon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Maldon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Maldon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Maldon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Maldon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Maldon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Maldon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630AA4-50FF-4126-BE49-5BB1953F600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